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360" w:lineRule="auto"/>
        <w:jc w:val="right"/>
        <w:rPr>
          <w:rFonts w:ascii="Tahoma" w:cs="Tahoma" w:eastAsia="Tahoma" w:hAnsi="Tahoma"/>
          <w:sz w:val="24"/>
          <w:szCs w:val="24"/>
        </w:rPr>
      </w:pPr>
      <w:r w:rsidDel="00000000" w:rsidR="00000000" w:rsidRPr="00000000">
        <w:rPr>
          <w:rFonts w:ascii="Tahoma" w:cs="Tahoma" w:eastAsia="Tahoma" w:hAnsi="Tahoma"/>
          <w:sz w:val="24"/>
          <w:szCs w:val="24"/>
          <w:rtl w:val="0"/>
        </w:rPr>
        <w:t xml:space="preserve">La Rioja 15 de Febrero de 2023</w:t>
      </w:r>
    </w:p>
    <w:p w:rsidR="00000000" w:rsidDel="00000000" w:rsidP="00000000" w:rsidRDefault="00000000" w:rsidRPr="00000000" w14:paraId="00000002">
      <w:pPr>
        <w:spacing w:line="36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Sr. Decano</w:t>
      </w:r>
    </w:p>
    <w:p w:rsidR="00000000" w:rsidDel="00000000" w:rsidP="00000000" w:rsidRDefault="00000000" w:rsidRPr="00000000" w14:paraId="00000003">
      <w:pPr>
        <w:spacing w:before="0" w:line="36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Ing. José NIETO</w:t>
      </w:r>
    </w:p>
    <w:p w:rsidR="00000000" w:rsidDel="00000000" w:rsidP="00000000" w:rsidRDefault="00000000" w:rsidRPr="00000000" w14:paraId="00000004">
      <w:pPr>
        <w:spacing w:before="0" w:line="36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UTN - Facultad Regional La Rioja</w:t>
      </w:r>
    </w:p>
    <w:p w:rsidR="00000000" w:rsidDel="00000000" w:rsidP="00000000" w:rsidRDefault="00000000" w:rsidRPr="00000000" w14:paraId="00000005">
      <w:pPr>
        <w:spacing w:after="200" w:before="0" w:line="36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S_____________ /_____________ D</w:t>
      </w:r>
    </w:p>
    <w:p w:rsidR="00000000" w:rsidDel="00000000" w:rsidP="00000000" w:rsidRDefault="00000000" w:rsidRPr="00000000" w14:paraId="00000006">
      <w:pPr>
        <w:spacing w:after="200" w:line="240" w:lineRule="auto"/>
        <w:ind w:firstLine="1133.858267716535"/>
        <w:jc w:val="right"/>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Asunto: </w:t>
      </w:r>
      <w:r w:rsidDel="00000000" w:rsidR="00000000" w:rsidRPr="00000000">
        <w:rPr>
          <w:rFonts w:ascii="Tahoma" w:cs="Tahoma" w:eastAsia="Tahoma" w:hAnsi="Tahoma"/>
          <w:sz w:val="24"/>
          <w:szCs w:val="24"/>
          <w:rtl w:val="0"/>
        </w:rPr>
        <w:t xml:space="preserve">Solicitud de compra de 2 (Dos) nuevos servidores.</w:t>
      </w:r>
    </w:p>
    <w:p w:rsidR="00000000" w:rsidDel="00000000" w:rsidP="00000000" w:rsidRDefault="00000000" w:rsidRPr="00000000" w14:paraId="00000007">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Me dirijo a usted con el propósito de justificar la necesidad de adquirir  nuevos servidores para nuestra facultad. En primer lugar, los servidores actuales ya han superado su vida útil, lo que implica que cada vez son más propensos a sufrir fallas técnicas, lo que podría generar un gran impacto en la continuidad de nuestras operaciones diarias.</w:t>
      </w:r>
    </w:p>
    <w:p w:rsidR="00000000" w:rsidDel="00000000" w:rsidP="00000000" w:rsidRDefault="00000000" w:rsidRPr="00000000" w14:paraId="00000008">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la actualidad, la tecnología es fundamental en el campo de la educación. Nuestra facultad utiliza diversos sistemas académicos en línea para gestionar la información de los estudiantes, como por ejemplo los registros de notas, horarios de clases, programación de exámenes y la plataforma virtual de enseñanza. </w:t>
      </w:r>
    </w:p>
    <w:p w:rsidR="00000000" w:rsidDel="00000000" w:rsidP="00000000" w:rsidRDefault="00000000" w:rsidRPr="00000000" w14:paraId="00000009">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Es por ello que resulta imprescindible contar con servidores que nos brinden alto rendimiento y capacidad de procesamiento de información y así poder dar respuesta a las necesidades de nuestra comunidad académica.</w:t>
      </w:r>
    </w:p>
    <w:p w:rsidR="00000000" w:rsidDel="00000000" w:rsidP="00000000" w:rsidRDefault="00000000" w:rsidRPr="00000000" w14:paraId="0000000A">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Asimismo, la compra de 2 (Dos) nuevos servidores nos permitirá mejorar la calidad de nuestros servicios y, por ende, la calidad de la educación que ofrecemos. Además, al contar con tecnología de última generación, podemos estar a la vanguardia en el desarrollo de nuevas herramientas y tecnologías educativas.</w:t>
      </w:r>
    </w:p>
    <w:p w:rsidR="00000000" w:rsidDel="00000000" w:rsidP="00000000" w:rsidRDefault="00000000" w:rsidRPr="00000000" w14:paraId="0000000B">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Por último, es importante destacar que los 2 (Dos) nuevos servidores nos permitirán mantener la seguridad de la información que manejamos, garantizando que los datos de nuestros estudiantes y profesores estén protegidos de posibles amenazas y vulnerabilidades.</w:t>
      </w:r>
    </w:p>
    <w:p w:rsidR="00000000" w:rsidDel="00000000" w:rsidP="00000000" w:rsidRDefault="00000000" w:rsidRPr="00000000" w14:paraId="0000000C">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A continuación, adjunto un detalle de las computadoras personales que hacen las funciones de servidores actualmente y sistemas que dependen de estas PCS/Clones:</w:t>
      </w:r>
    </w:p>
    <w:p w:rsidR="00000000" w:rsidDel="00000000" w:rsidP="00000000" w:rsidRDefault="00000000" w:rsidRPr="00000000" w14:paraId="0000000D">
      <w:pPr>
        <w:numPr>
          <w:ilvl w:val="0"/>
          <w:numId w:val="1"/>
        </w:numPr>
        <w:spacing w:after="0" w:afterAutospacing="0" w:before="200" w:line="360" w:lineRule="auto"/>
        <w:ind w:left="1440" w:hanging="360"/>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PC 1, </w:t>
      </w:r>
      <w:r w:rsidDel="00000000" w:rsidR="00000000" w:rsidRPr="00000000">
        <w:rPr>
          <w:rFonts w:ascii="Tahoma" w:cs="Tahoma" w:eastAsia="Tahoma" w:hAnsi="Tahoma"/>
          <w:b w:val="1"/>
          <w:bCs w:val="1"/>
          <w:sz w:val="24"/>
          <w:szCs w:val="24"/>
          <w:rtl w:val="0"/>
        </w:rPr>
        <w:t xml:space="preserve">SRV-LEONK</w:t>
      </w:r>
      <w:r w:rsidDel="00000000" w:rsidR="00000000" w:rsidRPr="00000000">
        <w:rPr>
          <w:rFonts w:ascii="Tahoma" w:cs="Tahoma" w:eastAsia="Tahoma" w:hAnsi="Tahoma"/>
          <w:sz w:val="24"/>
          <w:szCs w:val="24"/>
          <w:rtl w:val="0"/>
        </w:rPr>
        <w:t xml:space="preserve">: adquirido en el año 2012, cuenta con un procesador QuadCore Intel Xeon E3-1230, 3200 MHz (32 x 100), 16GB de RAM y 500GB de almacenamiento. Donde se encuentran alojados los sistemas de gestión </w:t>
      </w:r>
      <w:r w:rsidDel="00000000" w:rsidR="00000000" w:rsidRPr="00000000">
        <w:rPr>
          <w:rFonts w:ascii="Tahoma" w:cs="Tahoma" w:eastAsia="Tahoma" w:hAnsi="Tahoma"/>
          <w:i w:val="1"/>
          <w:iCs w:val="1"/>
          <w:sz w:val="24"/>
          <w:szCs w:val="24"/>
          <w:u w:val="single"/>
          <w:rtl w:val="0"/>
        </w:rPr>
        <w:t xml:space="preserve">SysACAD, SysAdmin y SysDASUTEN.</w:t>
      </w:r>
    </w:p>
    <w:p w:rsidR="00000000" w:rsidDel="00000000" w:rsidP="00000000" w:rsidRDefault="00000000" w:rsidRPr="00000000" w14:paraId="0000000E">
      <w:pPr>
        <w:numPr>
          <w:ilvl w:val="0"/>
          <w:numId w:val="1"/>
        </w:numPr>
        <w:spacing w:after="0" w:afterAutospacing="0" w:before="0" w:beforeAutospacing="0" w:line="360" w:lineRule="auto"/>
        <w:ind w:left="1440" w:hanging="360"/>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PC</w:t>
      </w:r>
      <w:r w:rsidDel="00000000" w:rsidR="00000000" w:rsidRPr="00000000">
        <w:rPr>
          <w:rFonts w:ascii="Tahoma" w:cs="Tahoma" w:eastAsia="Tahoma" w:hAnsi="Tahoma"/>
          <w:sz w:val="24"/>
          <w:szCs w:val="24"/>
          <w:rtl w:val="0"/>
        </w:rPr>
        <w:t xml:space="preserve"> 2, </w:t>
      </w:r>
      <w:r w:rsidDel="00000000" w:rsidR="00000000" w:rsidRPr="00000000">
        <w:rPr>
          <w:rFonts w:ascii="Tahoma" w:cs="Tahoma" w:eastAsia="Tahoma" w:hAnsi="Tahoma"/>
          <w:b w:val="1"/>
          <w:bCs w:val="1"/>
          <w:sz w:val="24"/>
          <w:szCs w:val="24"/>
          <w:rtl w:val="0"/>
        </w:rPr>
        <w:t xml:space="preserve">SRV-Xen01</w:t>
      </w:r>
      <w:r w:rsidDel="00000000" w:rsidR="00000000" w:rsidRPr="00000000">
        <w:rPr>
          <w:rFonts w:ascii="Tahoma" w:cs="Tahoma" w:eastAsia="Tahoma" w:hAnsi="Tahoma"/>
          <w:sz w:val="24"/>
          <w:szCs w:val="24"/>
          <w:rtl w:val="0"/>
        </w:rPr>
        <w:t xml:space="preserve">: adquirido en el año 2012, cuyas características técnicas son las mismas qué el Servidor 1. Este trabaja como servidor de virtualización, donde internamente se ejecutan los siguientes servidores virtuales </w:t>
      </w:r>
      <w:r w:rsidDel="00000000" w:rsidR="00000000" w:rsidRPr="00000000">
        <w:rPr>
          <w:rFonts w:ascii="Tahoma" w:cs="Tahoma" w:eastAsia="Tahoma" w:hAnsi="Tahoma"/>
          <w:i w:val="1"/>
          <w:iCs w:val="1"/>
          <w:sz w:val="24"/>
          <w:szCs w:val="24"/>
          <w:u w:val="single"/>
          <w:rtl w:val="0"/>
        </w:rPr>
        <w:t xml:space="preserve">Sitio Web2, UNifi Server, PROXI-2 y FTP-IPCam.</w:t>
      </w:r>
    </w:p>
    <w:p w:rsidR="00000000" w:rsidDel="00000000" w:rsidP="00000000" w:rsidRDefault="00000000" w:rsidRPr="00000000" w14:paraId="0000000F">
      <w:pPr>
        <w:numPr>
          <w:ilvl w:val="0"/>
          <w:numId w:val="1"/>
        </w:numPr>
        <w:spacing w:after="0" w:afterAutospacing="0" w:before="0" w:beforeAutospacing="0" w:line="360" w:lineRule="auto"/>
        <w:ind w:left="144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PC 3, </w:t>
      </w:r>
      <w:r w:rsidDel="00000000" w:rsidR="00000000" w:rsidRPr="00000000">
        <w:rPr>
          <w:rFonts w:ascii="Tahoma" w:cs="Tahoma" w:eastAsia="Tahoma" w:hAnsi="Tahoma"/>
          <w:b w:val="1"/>
          <w:bCs w:val="1"/>
          <w:sz w:val="24"/>
          <w:szCs w:val="24"/>
          <w:rtl w:val="0"/>
        </w:rPr>
        <w:t xml:space="preserve">SRV-NS1_DNS-MailServer</w:t>
      </w:r>
      <w:r w:rsidDel="00000000" w:rsidR="00000000" w:rsidRPr="00000000">
        <w:rPr>
          <w:rFonts w:ascii="Tahoma" w:cs="Tahoma" w:eastAsia="Tahoma" w:hAnsi="Tahoma"/>
          <w:sz w:val="24"/>
          <w:szCs w:val="24"/>
          <w:rtl w:val="0"/>
        </w:rPr>
        <w:t xml:space="preserve">: adquirido en el año 2013, cuenta con un procesador Intel Core 2 Duo CPU E7200, 2.53GHz, 2GB de RAM y 80GB de almacenamiento. Este se utiliza para resolución de nombres de internet (DNS) y Casillas de correo electrónico institucional (MailServer).</w:t>
      </w:r>
    </w:p>
    <w:p w:rsidR="00000000" w:rsidDel="00000000" w:rsidP="00000000" w:rsidRDefault="00000000" w:rsidRPr="00000000" w14:paraId="00000010">
      <w:pPr>
        <w:numPr>
          <w:ilvl w:val="0"/>
          <w:numId w:val="1"/>
        </w:numPr>
        <w:spacing w:after="0" w:afterAutospacing="0" w:before="0" w:beforeAutospacing="0" w:line="360" w:lineRule="auto"/>
        <w:ind w:left="144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PC</w:t>
      </w:r>
      <w:r w:rsidDel="00000000" w:rsidR="00000000" w:rsidRPr="00000000">
        <w:rPr>
          <w:rFonts w:ascii="Tahoma" w:cs="Tahoma" w:eastAsia="Tahoma" w:hAnsi="Tahoma"/>
          <w:sz w:val="24"/>
          <w:szCs w:val="24"/>
          <w:rtl w:val="0"/>
        </w:rPr>
        <w:t xml:space="preserve"> 4, </w:t>
      </w:r>
      <w:r w:rsidDel="00000000" w:rsidR="00000000" w:rsidRPr="00000000">
        <w:rPr>
          <w:rFonts w:ascii="Tahoma" w:cs="Tahoma" w:eastAsia="Tahoma" w:hAnsi="Tahoma"/>
          <w:b w:val="1"/>
          <w:bCs w:val="1"/>
          <w:sz w:val="24"/>
          <w:szCs w:val="24"/>
          <w:rtl w:val="0"/>
        </w:rPr>
        <w:t xml:space="preserve">SRV-NS07_ServTec</w:t>
      </w:r>
      <w:r w:rsidDel="00000000" w:rsidR="00000000" w:rsidRPr="00000000">
        <w:rPr>
          <w:rFonts w:ascii="Tahoma" w:cs="Tahoma" w:eastAsia="Tahoma" w:hAnsi="Tahoma"/>
          <w:sz w:val="24"/>
          <w:szCs w:val="24"/>
          <w:rtl w:val="0"/>
        </w:rPr>
        <w:t xml:space="preserve">: adquirido en el año 2020, cuenta con un procesador Intel(R) Core(TM) i5-4440 CPU @, 3.10GHz, 8GB de RAM y 622GB de almacenamiento. Este servidor está dedicado a compartir archivos y registro de servidos a computadoras.</w:t>
      </w:r>
    </w:p>
    <w:p w:rsidR="00000000" w:rsidDel="00000000" w:rsidP="00000000" w:rsidRDefault="00000000" w:rsidRPr="00000000" w14:paraId="00000011">
      <w:pPr>
        <w:numPr>
          <w:ilvl w:val="0"/>
          <w:numId w:val="1"/>
        </w:numPr>
        <w:spacing w:before="0" w:beforeAutospacing="0" w:line="360" w:lineRule="auto"/>
        <w:ind w:left="1440" w:hanging="360"/>
        <w:rPr>
          <w:rFonts w:ascii="Tahoma" w:cs="Tahoma" w:eastAsia="Tahoma" w:hAnsi="Tahoma"/>
          <w:sz w:val="24"/>
          <w:szCs w:val="24"/>
        </w:rPr>
      </w:pPr>
      <w:r w:rsidDel="00000000" w:rsidR="00000000" w:rsidRPr="00000000">
        <w:rPr>
          <w:rFonts w:ascii="Tahoma" w:cs="Tahoma" w:eastAsia="Tahoma" w:hAnsi="Tahoma"/>
          <w:sz w:val="24"/>
          <w:szCs w:val="24"/>
          <w:rtl w:val="0"/>
        </w:rPr>
        <w:t xml:space="preserve">PC 5, </w:t>
      </w:r>
      <w:r w:rsidDel="00000000" w:rsidR="00000000" w:rsidRPr="00000000">
        <w:rPr>
          <w:rFonts w:ascii="Tahoma" w:cs="Tahoma" w:eastAsia="Tahoma" w:hAnsi="Tahoma"/>
          <w:b w:val="1"/>
          <w:bCs w:val="1"/>
          <w:sz w:val="24"/>
          <w:szCs w:val="24"/>
          <w:rtl w:val="0"/>
        </w:rPr>
        <w:t xml:space="preserve">SRV-Xen02</w:t>
      </w:r>
      <w:r w:rsidDel="00000000" w:rsidR="00000000" w:rsidRPr="00000000">
        <w:rPr>
          <w:rFonts w:ascii="Tahoma" w:cs="Tahoma" w:eastAsia="Tahoma" w:hAnsi="Tahoma"/>
          <w:sz w:val="24"/>
          <w:szCs w:val="24"/>
          <w:rtl w:val="0"/>
        </w:rPr>
        <w:t xml:space="preserve">: adquirido en el año 2022, cuenta con un procesador AMD A10-9700 RADEON R7, 3.10GHz, 64GB de RAM y 960GB de almacenamiento. Este equipo trabaja como servidor de virtualización, donde internamente se ejecutan los siguientes servidores virtuales </w:t>
      </w:r>
      <w:r w:rsidDel="00000000" w:rsidR="00000000" w:rsidRPr="00000000">
        <w:rPr>
          <w:rFonts w:ascii="Tahoma" w:cs="Tahoma" w:eastAsia="Tahoma" w:hAnsi="Tahoma"/>
          <w:i w:val="1"/>
          <w:iCs w:val="1"/>
          <w:sz w:val="24"/>
          <w:szCs w:val="24"/>
          <w:u w:val="single"/>
          <w:rtl w:val="0"/>
        </w:rPr>
        <w:t xml:space="preserve">Sitio Web1, SysACAD-Web, SiGesDocs, PROXY-1, DHCP-DNS, MAURIK.</w:t>
      </w:r>
      <w:r w:rsidDel="00000000" w:rsidR="00000000" w:rsidRPr="00000000">
        <w:rPr>
          <w:rtl w:val="0"/>
        </w:rPr>
      </w:r>
    </w:p>
    <w:p w:rsidR="00000000" w:rsidDel="00000000" w:rsidP="00000000" w:rsidRDefault="00000000" w:rsidRPr="00000000" w14:paraId="00000012">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este sentido, proponemos la adquisición de </w:t>
      </w:r>
      <w:r w:rsidDel="00000000" w:rsidR="00000000" w:rsidRPr="00000000">
        <w:rPr>
          <w:rFonts w:ascii="Tahoma" w:cs="Tahoma" w:eastAsia="Tahoma" w:hAnsi="Tahoma"/>
          <w:i w:val="1"/>
          <w:iCs w:val="1"/>
          <w:sz w:val="24"/>
          <w:szCs w:val="24"/>
          <w:u w:val="single"/>
          <w:rtl w:val="0"/>
        </w:rPr>
        <w:t xml:space="preserve">2 (Dos) nuevos servidores</w:t>
      </w:r>
      <w:r w:rsidDel="00000000" w:rsidR="00000000" w:rsidRPr="00000000">
        <w:rPr>
          <w:rFonts w:ascii="Tahoma" w:cs="Tahoma" w:eastAsia="Tahoma" w:hAnsi="Tahoma"/>
          <w:sz w:val="24"/>
          <w:szCs w:val="24"/>
          <w:rtl w:val="0"/>
        </w:rPr>
        <w:t xml:space="preserve"> con las siguientes características:</w:t>
      </w:r>
      <w:r w:rsidDel="00000000" w:rsidR="00000000" w:rsidRPr="00000000">
        <w:br w:type="page"/>
      </w:r>
      <w:r w:rsidDel="00000000" w:rsidR="00000000" w:rsidRPr="00000000">
        <w:rPr>
          <w:rtl w:val="0"/>
        </w:rPr>
      </w:r>
    </w:p>
    <w:p w:rsidR="00000000" w:rsidDel="00000000" w:rsidP="00000000" w:rsidRDefault="00000000" w:rsidRPr="00000000" w14:paraId="00000013">
      <w:pPr>
        <w:spacing w:after="0" w:before="0" w:line="240" w:lineRule="auto"/>
        <w:ind w:firstLine="1133.858267716535"/>
        <w:jc w:val="both"/>
        <w:rPr>
          <w:rFonts w:ascii="Tahoma" w:cs="Tahoma" w:eastAsia="Tahoma" w:hAnsi="Tahoma"/>
          <w:sz w:val="24"/>
          <w:szCs w:val="24"/>
        </w:rPr>
      </w:pPr>
      <w:r w:rsidDel="00000000" w:rsidR="00000000" w:rsidRPr="00000000">
        <w:rPr>
          <w:rtl w:val="0"/>
        </w:rPr>
      </w:r>
    </w:p>
    <w:tbl>
      <w:tblPr>
        <w:tblStyle w:val="Table1"/>
        <w:tblW w:w="9960.0" w:type="dxa"/>
        <w:jc w:val="center"/>
        <w:tblLayout w:type="fixed"/>
        <w:tblLook w:val="0600"/>
      </w:tblPr>
      <w:tblGrid>
        <w:gridCol w:w="2865"/>
        <w:gridCol w:w="7095"/>
        <w:tblGridChange w:id="0">
          <w:tblGrid>
            <w:gridCol w:w="2865"/>
            <w:gridCol w:w="7095"/>
          </w:tblGrid>
        </w:tblGridChange>
      </w:tblGrid>
      <w:tr>
        <w:trPr>
          <w:cantSplit w:val="0"/>
          <w:trHeight w:val="90" w:hRule="atLeast"/>
          <w:tblHeader w:val="0"/>
        </w:trPr>
        <w:tc>
          <w:tcPr>
            <w:gridSpan w:val="2"/>
            <w:tcBorders>
              <w:top w:color="999999" w:space="0" w:sz="7" w:val="single"/>
              <w:left w:color="999999" w:space="0" w:sz="7" w:val="single"/>
              <w:bottom w:color="999999" w:space="0" w:sz="7" w:val="single"/>
              <w:right w:color="999999" w:space="0" w:sz="7" w:val="single"/>
            </w:tcBorders>
            <w:shd w:fill="ffffff" w:val="clear"/>
            <w:tcMar>
              <w:top w:w="40.0" w:type="dxa"/>
              <w:left w:w="0.0" w:type="dxa"/>
              <w:bottom w:w="40.0" w:type="dxa"/>
              <w:right w:w="0.0" w:type="dxa"/>
            </w:tcMar>
            <w:vAlign w:val="center"/>
          </w:tcPr>
          <w:p w:rsidR="00000000" w:rsidDel="00000000" w:rsidP="00000000" w:rsidRDefault="00000000" w:rsidRPr="00000000" w14:paraId="00000014">
            <w:pPr>
              <w:widowControl w:val="0"/>
              <w:spacing w:line="240" w:lineRule="auto"/>
              <w:jc w:val="center"/>
              <w:rPr>
                <w:b w:val="1"/>
                <w:bCs w:val="1"/>
                <w:sz w:val="30"/>
                <w:szCs w:val="30"/>
              </w:rPr>
            </w:pPr>
            <w:r w:rsidDel="00000000" w:rsidR="00000000" w:rsidRPr="00000000">
              <w:rPr>
                <w:b w:val="1"/>
                <w:bCs w:val="1"/>
                <w:sz w:val="30"/>
                <w:szCs w:val="30"/>
                <w:rtl w:val="0"/>
              </w:rPr>
              <w:t xml:space="preserve">SERVER DELL R550 SIL 4309/16GB/480GB SSD/PERC H755</w:t>
            </w:r>
          </w:p>
        </w:tc>
      </w:tr>
      <w:tr>
        <w:trPr>
          <w:cantSplit w:val="0"/>
          <w:trHeight w:val="330" w:hRule="atLeast"/>
          <w:tblHeader w:val="0"/>
        </w:trPr>
        <w:tc>
          <w:tcPr>
            <w:tcBorders>
              <w:top w:color="999999" w:space="0" w:sz="7" w:val="single"/>
              <w:left w:color="999999" w:space="0" w:sz="7" w:val="single"/>
              <w:bottom w:color="999999" w:space="0" w:sz="7" w:val="single"/>
              <w:right w:color="999999"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6">
            <w:pPr>
              <w:widowControl w:val="0"/>
              <w:spacing w:line="240" w:lineRule="auto"/>
              <w:rPr>
                <w:sz w:val="20"/>
                <w:szCs w:val="20"/>
              </w:rPr>
            </w:pPr>
            <w:r w:rsidDel="00000000" w:rsidR="00000000" w:rsidRPr="00000000">
              <w:rPr>
                <w:rtl w:val="0"/>
              </w:rPr>
              <w:t xml:space="preserve">Modelo</w:t>
            </w:r>
            <w:r w:rsidDel="00000000" w:rsidR="00000000" w:rsidRPr="00000000">
              <w:rPr>
                <w:rtl w:val="0"/>
              </w:rPr>
            </w:r>
          </w:p>
        </w:tc>
        <w:tc>
          <w:tcPr>
            <w:tcBorders>
              <w:top w:color="999999" w:space="0" w:sz="7" w:val="single"/>
              <w:left w:color="999999" w:space="0" w:sz="7" w:val="single"/>
              <w:bottom w:color="999999" w:space="0" w:sz="7" w:val="single"/>
              <w:right w:color="999999"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7">
            <w:pPr>
              <w:widowControl w:val="0"/>
              <w:spacing w:line="240" w:lineRule="auto"/>
              <w:rPr/>
            </w:pPr>
            <w:r w:rsidDel="00000000" w:rsidR="00000000" w:rsidRPr="00000000">
              <w:rPr>
                <w:rtl w:val="0"/>
              </w:rPr>
              <w:t xml:space="preserve">PowerEdge R550</w:t>
            </w:r>
          </w:p>
        </w:tc>
      </w:tr>
      <w:tr>
        <w:trPr>
          <w:cantSplit w:val="0"/>
          <w:trHeight w:val="330" w:hRule="atLeast"/>
          <w:tblHeader w:val="0"/>
        </w:trPr>
        <w:tc>
          <w:tcPr>
            <w:tcBorders>
              <w:top w:color="999999" w:space="0" w:sz="7" w:val="single"/>
              <w:left w:color="999999" w:space="0" w:sz="7" w:val="single"/>
              <w:bottom w:color="999999" w:space="0" w:sz="7" w:val="single"/>
              <w:right w:color="999999"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8">
            <w:pPr>
              <w:widowControl w:val="0"/>
              <w:spacing w:line="240" w:lineRule="auto"/>
              <w:rPr>
                <w:sz w:val="20"/>
                <w:szCs w:val="20"/>
              </w:rPr>
            </w:pPr>
            <w:r w:rsidDel="00000000" w:rsidR="00000000" w:rsidRPr="00000000">
              <w:rPr>
                <w:rtl w:val="0"/>
              </w:rPr>
              <w:t xml:space="preserve">Procesador</w:t>
            </w:r>
            <w:r w:rsidDel="00000000" w:rsidR="00000000" w:rsidRPr="00000000">
              <w:rPr>
                <w:rtl w:val="0"/>
              </w:rPr>
            </w:r>
          </w:p>
        </w:tc>
        <w:tc>
          <w:tcPr>
            <w:tcBorders>
              <w:top w:color="999999" w:space="0" w:sz="7" w:val="single"/>
              <w:left w:color="999999" w:space="0" w:sz="7" w:val="single"/>
              <w:bottom w:color="999999" w:space="0" w:sz="7" w:val="single"/>
              <w:right w:color="999999"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9">
            <w:pPr>
              <w:widowControl w:val="0"/>
              <w:spacing w:line="240" w:lineRule="auto"/>
              <w:rPr/>
            </w:pPr>
            <w:r w:rsidDel="00000000" w:rsidR="00000000" w:rsidRPr="00000000">
              <w:rPr>
                <w:rtl w:val="0"/>
              </w:rPr>
              <w:t xml:space="preserve">Intel® Xeon® Plata 4309Y 2.8G, 8C/16T, 10.4GT/s, 12M de caché, Turbo, HT (105W) DDR4-2666</w:t>
            </w:r>
          </w:p>
        </w:tc>
      </w:tr>
      <w:tr>
        <w:trPr>
          <w:cantSplit w:val="0"/>
          <w:trHeight w:val="570" w:hRule="atLeast"/>
          <w:tblHeader w:val="0"/>
        </w:trPr>
        <w:tc>
          <w:tcPr>
            <w:tcBorders>
              <w:top w:color="999999" w:space="0" w:sz="7" w:val="single"/>
              <w:left w:color="999999" w:space="0" w:sz="7" w:val="single"/>
              <w:bottom w:color="999999" w:space="0" w:sz="7" w:val="single"/>
              <w:right w:color="999999"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A">
            <w:pPr>
              <w:widowControl w:val="0"/>
              <w:spacing w:line="240" w:lineRule="auto"/>
              <w:rPr>
                <w:sz w:val="20"/>
                <w:szCs w:val="20"/>
              </w:rPr>
            </w:pPr>
            <w:r w:rsidDel="00000000" w:rsidR="00000000" w:rsidRPr="00000000">
              <w:rPr>
                <w:rtl w:val="0"/>
              </w:rPr>
              <w:t xml:space="preserve">Zócalos</w:t>
            </w:r>
            <w:r w:rsidDel="00000000" w:rsidR="00000000" w:rsidRPr="00000000">
              <w:rPr>
                <w:rtl w:val="0"/>
              </w:rPr>
              <w:t xml:space="preserve"> de Memoria</w:t>
            </w:r>
            <w:r w:rsidDel="00000000" w:rsidR="00000000" w:rsidRPr="00000000">
              <w:rPr>
                <w:rtl w:val="0"/>
              </w:rPr>
            </w:r>
          </w:p>
        </w:tc>
        <w:tc>
          <w:tcPr>
            <w:tcBorders>
              <w:top w:color="999999" w:space="0" w:sz="7" w:val="single"/>
              <w:left w:color="999999" w:space="0" w:sz="7" w:val="single"/>
              <w:bottom w:color="999999" w:space="0" w:sz="7" w:val="single"/>
              <w:right w:color="999999"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B">
            <w:pPr>
              <w:widowControl w:val="0"/>
              <w:spacing w:line="240" w:lineRule="auto"/>
              <w:rPr>
                <w:sz w:val="20"/>
                <w:szCs w:val="20"/>
              </w:rPr>
            </w:pPr>
            <w:r w:rsidDel="00000000" w:rsidR="00000000" w:rsidRPr="00000000">
              <w:rPr>
                <w:rtl w:val="0"/>
              </w:rPr>
              <w:t xml:space="preserve">16</w:t>
            </w:r>
            <w:r w:rsidDel="00000000" w:rsidR="00000000" w:rsidRPr="00000000">
              <w:rPr>
                <w:rtl w:val="0"/>
              </w:rPr>
            </w:r>
          </w:p>
        </w:tc>
      </w:tr>
      <w:tr>
        <w:trPr>
          <w:cantSplit w:val="0"/>
          <w:trHeight w:val="330" w:hRule="atLeast"/>
          <w:tblHeader w:val="0"/>
        </w:trPr>
        <w:tc>
          <w:tcPr>
            <w:tcBorders>
              <w:top w:color="999999" w:space="0" w:sz="7" w:val="single"/>
              <w:left w:color="999999" w:space="0" w:sz="7" w:val="single"/>
              <w:bottom w:color="999999" w:space="0" w:sz="7" w:val="single"/>
              <w:right w:color="999999"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C">
            <w:pPr>
              <w:widowControl w:val="0"/>
              <w:spacing w:line="240" w:lineRule="auto"/>
              <w:rPr>
                <w:sz w:val="20"/>
                <w:szCs w:val="20"/>
              </w:rPr>
            </w:pPr>
            <w:r w:rsidDel="00000000" w:rsidR="00000000" w:rsidRPr="00000000">
              <w:rPr>
                <w:rtl w:val="0"/>
              </w:rPr>
              <w:t xml:space="preserve">Memoria</w:t>
            </w:r>
            <w:r w:rsidDel="00000000" w:rsidR="00000000" w:rsidRPr="00000000">
              <w:rPr>
                <w:rtl w:val="0"/>
              </w:rPr>
            </w:r>
          </w:p>
        </w:tc>
        <w:tc>
          <w:tcPr>
            <w:tcBorders>
              <w:top w:color="999999" w:space="0" w:sz="7" w:val="single"/>
              <w:left w:color="999999" w:space="0" w:sz="7" w:val="single"/>
              <w:bottom w:color="999999" w:space="0" w:sz="7" w:val="single"/>
              <w:right w:color="999999"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D">
            <w:pPr>
              <w:widowControl w:val="0"/>
              <w:spacing w:line="240" w:lineRule="auto"/>
              <w:rPr/>
            </w:pPr>
            <w:r w:rsidDel="00000000" w:rsidR="00000000" w:rsidRPr="00000000">
              <w:rPr>
                <w:rtl w:val="0"/>
              </w:rPr>
              <w:t xml:space="preserve">RDIMM de 16 GB, 3200 MT/s, rango doble</w:t>
            </w:r>
          </w:p>
        </w:tc>
      </w:tr>
      <w:tr>
        <w:trPr>
          <w:cantSplit w:val="0"/>
          <w:trHeight w:val="330" w:hRule="atLeast"/>
          <w:tblHeader w:val="0"/>
        </w:trPr>
        <w:tc>
          <w:tcPr>
            <w:tcBorders>
              <w:top w:color="999999" w:space="0" w:sz="7" w:val="single"/>
              <w:left w:color="999999" w:space="0" w:sz="7" w:val="single"/>
              <w:bottom w:color="999999" w:space="0" w:sz="7" w:val="single"/>
              <w:right w:color="999999"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E">
            <w:pPr>
              <w:widowControl w:val="0"/>
              <w:spacing w:line="240" w:lineRule="auto"/>
              <w:rPr>
                <w:sz w:val="20"/>
                <w:szCs w:val="20"/>
              </w:rPr>
            </w:pPr>
            <w:r w:rsidDel="00000000" w:rsidR="00000000" w:rsidRPr="00000000">
              <w:rPr>
                <w:rtl w:val="0"/>
              </w:rPr>
              <w:t xml:space="preserve">Energía</w:t>
            </w:r>
            <w:r w:rsidDel="00000000" w:rsidR="00000000" w:rsidRPr="00000000">
              <w:rPr>
                <w:rtl w:val="0"/>
              </w:rPr>
            </w:r>
          </w:p>
        </w:tc>
        <w:tc>
          <w:tcPr>
            <w:tcBorders>
              <w:top w:color="999999" w:space="0" w:sz="7" w:val="single"/>
              <w:left w:color="999999" w:space="0" w:sz="7" w:val="single"/>
              <w:bottom w:color="999999" w:space="0" w:sz="7" w:val="single"/>
              <w:right w:color="999999"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F">
            <w:pPr>
              <w:widowControl w:val="0"/>
              <w:spacing w:line="240" w:lineRule="auto"/>
              <w:rPr/>
            </w:pPr>
            <w:r w:rsidDel="00000000" w:rsidR="00000000" w:rsidRPr="00000000">
              <w:rPr>
                <w:rtl w:val="0"/>
              </w:rPr>
              <w:t xml:space="preserve">Fuente de alimentación doble, conectable en caliente, tolerante a fallas, redundante (1+1), 800 W, modo mixto</w:t>
            </w:r>
          </w:p>
        </w:tc>
      </w:tr>
      <w:tr>
        <w:trPr>
          <w:cantSplit w:val="0"/>
          <w:trHeight w:val="825" w:hRule="atLeast"/>
          <w:tblHeader w:val="0"/>
        </w:trPr>
        <w:tc>
          <w:tcPr>
            <w:tcBorders>
              <w:top w:color="999999" w:space="0" w:sz="7" w:val="single"/>
              <w:left w:color="999999" w:space="0" w:sz="7" w:val="single"/>
              <w:bottom w:color="999999" w:space="0" w:sz="7" w:val="single"/>
              <w:right w:color="999999"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0">
            <w:pPr>
              <w:widowControl w:val="0"/>
              <w:spacing w:line="240" w:lineRule="auto"/>
              <w:rPr>
                <w:sz w:val="20"/>
                <w:szCs w:val="20"/>
              </w:rPr>
            </w:pPr>
            <w:r w:rsidDel="00000000" w:rsidR="00000000" w:rsidRPr="00000000">
              <w:rPr>
                <w:rtl w:val="0"/>
              </w:rPr>
              <w:t xml:space="preserve">Dispositivo óptico primario</w:t>
            </w:r>
            <w:r w:rsidDel="00000000" w:rsidR="00000000" w:rsidRPr="00000000">
              <w:rPr>
                <w:rtl w:val="0"/>
              </w:rPr>
            </w:r>
          </w:p>
        </w:tc>
        <w:tc>
          <w:tcPr>
            <w:tcBorders>
              <w:top w:color="999999" w:space="0" w:sz="7" w:val="single"/>
              <w:left w:color="999999" w:space="0" w:sz="7" w:val="single"/>
              <w:bottom w:color="999999" w:space="0" w:sz="7" w:val="single"/>
              <w:right w:color="999999"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1">
            <w:pPr>
              <w:widowControl w:val="0"/>
              <w:spacing w:line="240" w:lineRule="auto"/>
              <w:rPr/>
            </w:pPr>
            <w:r w:rsidDel="00000000" w:rsidR="00000000" w:rsidRPr="00000000">
              <w:rPr>
                <w:rtl w:val="0"/>
              </w:rPr>
              <w:t xml:space="preserve">Sin unidad óptica interna</w:t>
            </w:r>
          </w:p>
        </w:tc>
      </w:tr>
      <w:tr>
        <w:trPr>
          <w:cantSplit w:val="0"/>
          <w:trHeight w:val="570" w:hRule="atLeast"/>
          <w:tblHeader w:val="0"/>
        </w:trPr>
        <w:tc>
          <w:tcPr>
            <w:tcBorders>
              <w:top w:color="999999" w:space="0" w:sz="7" w:val="single"/>
              <w:left w:color="999999" w:space="0" w:sz="7" w:val="single"/>
              <w:bottom w:color="999999" w:space="0" w:sz="7" w:val="single"/>
              <w:right w:color="999999"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2">
            <w:pPr>
              <w:widowControl w:val="0"/>
              <w:spacing w:line="240" w:lineRule="auto"/>
              <w:rPr>
                <w:sz w:val="20"/>
                <w:szCs w:val="20"/>
              </w:rPr>
            </w:pPr>
            <w:r w:rsidDel="00000000" w:rsidR="00000000" w:rsidRPr="00000000">
              <w:rPr>
                <w:rtl w:val="0"/>
              </w:rPr>
              <w:t xml:space="preserve">Almacenamiento primario</w:t>
            </w:r>
            <w:r w:rsidDel="00000000" w:rsidR="00000000" w:rsidRPr="00000000">
              <w:rPr>
                <w:rtl w:val="0"/>
              </w:rPr>
            </w:r>
          </w:p>
        </w:tc>
        <w:tc>
          <w:tcPr>
            <w:tcBorders>
              <w:top w:color="999999" w:space="0" w:sz="7" w:val="single"/>
              <w:left w:color="999999" w:space="0" w:sz="7" w:val="single"/>
              <w:bottom w:color="999999" w:space="0" w:sz="7" w:val="single"/>
              <w:right w:color="999999"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3">
            <w:pPr>
              <w:widowControl w:val="0"/>
              <w:spacing w:line="240" w:lineRule="auto"/>
              <w:rPr/>
            </w:pPr>
            <w:r w:rsidDel="00000000" w:rsidR="00000000" w:rsidRPr="00000000">
              <w:rPr>
                <w:rtl w:val="0"/>
              </w:rPr>
              <w:t xml:space="preserve">SSD SATA de 480 GB Lectura intensiva 6 Gbps 512 Unidad AG conectable en caliente de 2,5 pulgadas, HYB CARR de 3,5 pulgadas, 1 DWPD</w:t>
            </w:r>
          </w:p>
        </w:tc>
      </w:tr>
      <w:tr>
        <w:trPr>
          <w:cantSplit w:val="0"/>
          <w:trHeight w:val="330" w:hRule="atLeast"/>
          <w:tblHeader w:val="0"/>
        </w:trPr>
        <w:tc>
          <w:tcPr>
            <w:tcBorders>
              <w:top w:color="999999" w:space="0" w:sz="7" w:val="single"/>
              <w:left w:color="999999" w:space="0" w:sz="7" w:val="single"/>
              <w:bottom w:color="999999" w:space="0" w:sz="7" w:val="single"/>
              <w:right w:color="999999"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4">
            <w:pPr>
              <w:widowControl w:val="0"/>
              <w:spacing w:line="240" w:lineRule="auto"/>
              <w:rPr>
                <w:sz w:val="20"/>
                <w:szCs w:val="20"/>
              </w:rPr>
            </w:pPr>
            <w:r w:rsidDel="00000000" w:rsidR="00000000" w:rsidRPr="00000000">
              <w:rPr>
                <w:rtl w:val="0"/>
              </w:rPr>
              <w:t xml:space="preserve">Garantía</w:t>
            </w:r>
            <w:r w:rsidDel="00000000" w:rsidR="00000000" w:rsidRPr="00000000">
              <w:rPr>
                <w:rtl w:val="0"/>
              </w:rPr>
            </w:r>
          </w:p>
        </w:tc>
        <w:tc>
          <w:tcPr>
            <w:tcBorders>
              <w:top w:color="999999" w:space="0" w:sz="7" w:val="single"/>
              <w:left w:color="999999" w:space="0" w:sz="7" w:val="single"/>
              <w:bottom w:color="999999" w:space="0" w:sz="7" w:val="single"/>
              <w:right w:color="999999"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5">
            <w:pPr>
              <w:widowControl w:val="0"/>
              <w:spacing w:line="240" w:lineRule="auto"/>
              <w:rPr/>
            </w:pPr>
            <w:r w:rsidDel="00000000" w:rsidR="00000000" w:rsidRPr="00000000">
              <w:rPr>
                <w:rtl w:val="0"/>
              </w:rPr>
              <w:t xml:space="preserve">5 años de garantía básica de hardware Reparación 5×10 HW-Only 5×10 Next Business Day In situ-LA</w:t>
            </w:r>
          </w:p>
        </w:tc>
      </w:tr>
      <w:tr>
        <w:trPr>
          <w:cantSplit w:val="0"/>
          <w:trHeight w:val="330" w:hRule="atLeast"/>
          <w:tblHeader w:val="0"/>
        </w:trPr>
        <w:tc>
          <w:tcPr>
            <w:tcBorders>
              <w:top w:color="999999" w:space="0" w:sz="7" w:val="single"/>
              <w:left w:color="999999" w:space="0" w:sz="7" w:val="single"/>
              <w:bottom w:color="999999" w:space="0" w:sz="7" w:val="single"/>
              <w:right w:color="999999"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6">
            <w:pPr>
              <w:widowControl w:val="0"/>
              <w:spacing w:line="240" w:lineRule="auto"/>
              <w:rPr>
                <w:sz w:val="20"/>
                <w:szCs w:val="20"/>
              </w:rPr>
            </w:pPr>
            <w:r w:rsidDel="00000000" w:rsidR="00000000" w:rsidRPr="00000000">
              <w:rPr>
                <w:rtl w:val="0"/>
              </w:rPr>
              <w:t xml:space="preserve">Chasis</w:t>
            </w:r>
            <w:r w:rsidDel="00000000" w:rsidR="00000000" w:rsidRPr="00000000">
              <w:rPr>
                <w:rtl w:val="0"/>
              </w:rPr>
            </w:r>
          </w:p>
        </w:tc>
        <w:tc>
          <w:tcPr>
            <w:tcBorders>
              <w:top w:color="999999" w:space="0" w:sz="7" w:val="single"/>
              <w:left w:color="999999" w:space="0" w:sz="7" w:val="single"/>
              <w:bottom w:color="999999" w:space="0" w:sz="7" w:val="single"/>
              <w:right w:color="999999"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7">
            <w:pPr>
              <w:widowControl w:val="0"/>
              <w:spacing w:line="240" w:lineRule="auto"/>
              <w:rPr/>
            </w:pPr>
            <w:r w:rsidDel="00000000" w:rsidR="00000000" w:rsidRPr="00000000">
              <w:rPr>
                <w:rtl w:val="0"/>
              </w:rPr>
              <w:t xml:space="preserve">Chasis 3.5 con hasta 8 Discos Duros (SAS/SATA), 1 CPU</w:t>
            </w:r>
          </w:p>
        </w:tc>
      </w:tr>
    </w:tbl>
    <w:p w:rsidR="00000000" w:rsidDel="00000000" w:rsidP="00000000" w:rsidRDefault="00000000" w:rsidRPr="00000000" w14:paraId="00000028">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Gracias a estas características, los nuevos servidores nos ofrecerán la capacidad de procesamiento y almacenamiento necesaria para satisfacer nuestras necesidades actuales y brindar un alto rendimiento en la administración de sistemas académicos en línea y plataformas de enseñanza virtual. Además, utilizando la tecnología de virtualización, superarán en un 500% la velocidad y capacidad de procesamiento de los servidores anteriores, lo que facilitará su mantenimiento y administración.</w:t>
      </w:r>
    </w:p>
    <w:p w:rsidR="00000000" w:rsidDel="00000000" w:rsidP="00000000" w:rsidRDefault="00000000" w:rsidRPr="00000000" w14:paraId="00000029">
      <w:pPr>
        <w:spacing w:after="0" w:before="200" w:line="276"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resumen, la adquisición de 2 (Dos) nuevos servidores es fundamental para nuestra facultad, ya que nos permitirá mejorar la calidad de nuestros servicios, ofrecer una educación de calidad y mantener la seguridad de la información. </w:t>
      </w:r>
    </w:p>
    <w:p w:rsidR="00000000" w:rsidDel="00000000" w:rsidP="00000000" w:rsidRDefault="00000000" w:rsidRPr="00000000" w14:paraId="0000002A">
      <w:pPr>
        <w:spacing w:after="0" w:before="200" w:line="276"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Agradezco su consideración y quedo a la espera de su respuesta, atentamente.</w:t>
      </w:r>
    </w:p>
    <w:p w:rsidR="00000000" w:rsidDel="00000000" w:rsidP="00000000" w:rsidRDefault="00000000" w:rsidRPr="00000000" w14:paraId="0000002B">
      <w:pPr>
        <w:spacing w:before="0" w:line="240" w:lineRule="auto"/>
        <w:ind w:left="6094.488188976378" w:firstLine="0"/>
        <w:jc w:val="center"/>
        <w:rPr>
          <w:rFonts w:ascii="Tahoma" w:cs="Tahoma" w:eastAsia="Tahoma" w:hAnsi="Tahoma"/>
          <w:b w:val="1"/>
          <w:bCs w:val="1"/>
          <w:sz w:val="20"/>
          <w:szCs w:val="20"/>
        </w:rPr>
      </w:pPr>
      <w:bookmarkStart w:colFirst="0" w:colLast="0" w:name="_kywi6uw6zkwa" w:id="0"/>
      <w:bookmarkEnd w:id="0"/>
      <w:r w:rsidDel="00000000" w:rsidR="00000000" w:rsidRPr="00000000">
        <w:rPr>
          <w:rtl w:val="0"/>
        </w:rPr>
      </w:r>
    </w:p>
    <w:p w:rsidR="00000000" w:rsidDel="00000000" w:rsidP="00000000" w:rsidRDefault="00000000" w:rsidRPr="00000000" w14:paraId="0000002C">
      <w:pPr>
        <w:spacing w:before="0" w:line="240" w:lineRule="auto"/>
        <w:ind w:left="6094.488188976378" w:firstLine="0"/>
        <w:jc w:val="center"/>
        <w:rPr>
          <w:rFonts w:ascii="Tahoma" w:cs="Tahoma" w:eastAsia="Tahoma" w:hAnsi="Tahoma"/>
          <w:b w:val="1"/>
          <w:bCs w:val="1"/>
          <w:sz w:val="20"/>
          <w:szCs w:val="20"/>
        </w:rPr>
      </w:pPr>
      <w:bookmarkStart w:colFirst="0" w:colLast="0" w:name="_72olkhrrl11h" w:id="1"/>
      <w:bookmarkEnd w:id="1"/>
      <w:r w:rsidDel="00000000" w:rsidR="00000000" w:rsidRPr="00000000">
        <w:rPr>
          <w:rFonts w:ascii="Tahoma" w:cs="Tahoma" w:eastAsia="Tahoma" w:hAnsi="Tahoma"/>
          <w:b w:val="1"/>
          <w:bCs w:val="1"/>
          <w:sz w:val="20"/>
          <w:szCs w:val="20"/>
          <w:rtl w:val="0"/>
        </w:rPr>
        <w:t xml:space="preserve">Lic. Ricardo MONLA</w:t>
      </w:r>
    </w:p>
    <w:p w:rsidR="00000000" w:rsidDel="00000000" w:rsidP="00000000" w:rsidRDefault="00000000" w:rsidRPr="00000000" w14:paraId="0000002D">
      <w:pPr>
        <w:spacing w:line="240" w:lineRule="auto"/>
        <w:ind w:left="6094.488188976378" w:firstLine="0"/>
        <w:jc w:val="center"/>
        <w:rPr>
          <w:rFonts w:ascii="Tahoma" w:cs="Tahoma" w:eastAsia="Tahoma" w:hAnsi="Tahoma"/>
          <w:b w:val="1"/>
          <w:bCs w:val="1"/>
          <w:sz w:val="18"/>
          <w:szCs w:val="18"/>
        </w:rPr>
      </w:pPr>
      <w:r w:rsidDel="00000000" w:rsidR="00000000" w:rsidRPr="00000000">
        <w:rPr>
          <w:rFonts w:ascii="Tahoma" w:cs="Tahoma" w:eastAsia="Tahoma" w:hAnsi="Tahoma"/>
          <w:sz w:val="20"/>
          <w:szCs w:val="20"/>
          <w:rtl w:val="0"/>
        </w:rPr>
        <w:t xml:space="preserve">Dirección de TIC – UTNLaRioja</w:t>
      </w:r>
      <w:r w:rsidDel="00000000" w:rsidR="00000000" w:rsidRPr="00000000">
        <w:rPr>
          <w:rtl w:val="0"/>
        </w:rPr>
      </w:r>
    </w:p>
    <w:p w:rsidR="00000000" w:rsidDel="00000000" w:rsidP="00000000" w:rsidRDefault="00000000" w:rsidRPr="00000000" w14:paraId="0000002E">
      <w:pPr>
        <w:spacing w:line="240" w:lineRule="auto"/>
        <w:rPr>
          <w:rFonts w:ascii="Tahoma" w:cs="Tahoma" w:eastAsia="Tahoma" w:hAnsi="Tahoma"/>
          <w:b w:val="1"/>
          <w:bCs w:val="1"/>
          <w:sz w:val="18"/>
          <w:szCs w:val="18"/>
        </w:rPr>
      </w:pPr>
      <w:r w:rsidDel="00000000" w:rsidR="00000000" w:rsidRPr="00000000">
        <w:rPr>
          <w:rtl w:val="0"/>
        </w:rPr>
      </w:r>
    </w:p>
    <w:p w:rsidR="00000000" w:rsidDel="00000000" w:rsidP="00000000" w:rsidRDefault="00000000" w:rsidRPr="00000000" w14:paraId="0000002F">
      <w:pPr>
        <w:spacing w:line="240" w:lineRule="auto"/>
        <w:rPr>
          <w:rFonts w:ascii="Tahoma" w:cs="Tahoma" w:eastAsia="Tahoma" w:hAnsi="Tahoma"/>
          <w:b w:val="1"/>
          <w:bCs w:val="1"/>
          <w:sz w:val="18"/>
          <w:szCs w:val="18"/>
        </w:rPr>
      </w:pPr>
      <w:r w:rsidDel="00000000" w:rsidR="00000000" w:rsidRPr="00000000">
        <w:rPr>
          <w:rFonts w:ascii="Tahoma" w:cs="Tahoma" w:eastAsia="Tahoma" w:hAnsi="Tahoma"/>
          <w:b w:val="1"/>
          <w:bCs w:val="1"/>
          <w:sz w:val="18"/>
          <w:szCs w:val="18"/>
          <w:rtl w:val="0"/>
        </w:rPr>
        <w:t xml:space="preserve">Nota: Se adjunta presupuesto de referencia.Se entrega copia al Ing. Martín HEREDIA, Sec. Planeamiento y Auto-evaluación. </w:t>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948.3070866141725" w:top="1440" w:left="1440" w:right="1440" w:header="720.0000000000001" w:footer="720.00000000000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spacing w:line="240" w:lineRule="auto"/>
      <w:rPr>
        <w:sz w:val="8"/>
        <w:szCs w:val="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“1983/2023 - 40 Años de Democracia”</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31">
    <w:pPr>
      <w:ind w:left="3259" w:firstLine="0"/>
      <w:rPr>
        <w:rFonts w:ascii="Times New Roman" w:cs="Times New Roman" w:eastAsia="Times New Roman" w:hAnsi="Times New Roman"/>
        <w:b w:val="1"/>
        <w:bCs w:val="1"/>
        <w:i w:val="1"/>
        <w:iCs w:val="1"/>
        <w:sz w:val="18"/>
        <w:szCs w:val="18"/>
      </w:rPr>
    </w:pPr>
    <w:r w:rsidDel="00000000" w:rsidR="00000000" w:rsidRPr="00000000">
      <w:rPr>
        <w:rtl w:val="0"/>
      </w:rPr>
    </w:r>
  </w:p>
  <w:p w:rsidR="00000000" w:rsidDel="00000000" w:rsidP="00000000" w:rsidRDefault="00000000" w:rsidRPr="00000000" w14:paraId="00000032">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3">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4">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35">
    <w:pPr>
      <w:spacing w:after="200" w:lineRule="auto"/>
      <w:jc w:val="right"/>
      <w:rPr>
        <w:rFonts w:ascii="Times New Roman" w:cs="Times New Roman" w:eastAsia="Times New Roman" w:hAnsi="Times New Roman"/>
        <w:b w:val="1"/>
        <w:bCs w:val="1"/>
        <w:i w:val="1"/>
        <w:iCs w:val="1"/>
      </w:rPr>
    </w:pPr>
    <w:hyperlink r:id="rId2">
      <w:r w:rsidDel="00000000" w:rsidR="00000000" w:rsidRPr="00000000">
        <w:rPr>
          <w:rFonts w:ascii="Times New Roman" w:cs="Times New Roman" w:eastAsia="Times New Roman" w:hAnsi="Times New Roman"/>
          <w:b w:val="1"/>
          <w:bCs w:val="1"/>
          <w:i w:val="1"/>
          <w:iCs w:val="1"/>
          <w:color w:val="1155cc"/>
          <w:u w:val="single"/>
          <w:rtl w:val="0"/>
        </w:rPr>
        <w:t xml:space="preserve">Nota-2301</w:t>
      </w:r>
    </w:hyperlink>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“2022 - Las Malvinas son Argentinas”</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38">
    <w:pPr>
      <w:ind w:left="3259" w:firstLine="0"/>
      <w:rPr>
        <w:rFonts w:ascii="Times New Roman" w:cs="Times New Roman" w:eastAsia="Times New Roman" w:hAnsi="Times New Roman"/>
        <w:b w:val="1"/>
        <w:bCs w:val="1"/>
        <w:i w:val="1"/>
        <w:iCs w:val="1"/>
        <w:sz w:val="18"/>
        <w:szCs w:val="18"/>
      </w:rPr>
    </w:pPr>
    <w:r w:rsidDel="00000000" w:rsidR="00000000" w:rsidRPr="00000000">
      <w:rPr>
        <w:rtl w:val="0"/>
      </w:rPr>
    </w:r>
  </w:p>
  <w:p w:rsidR="00000000" w:rsidDel="00000000" w:rsidP="00000000" w:rsidRDefault="00000000" w:rsidRPr="00000000" w14:paraId="00000039">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A">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B">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3C">
    <w:pPr>
      <w:spacing w:after="200" w:lineRule="auto"/>
      <w:jc w:val="right"/>
      <w:rPr/>
    </w:pPr>
    <w:hyperlink r:id="rId2">
      <w:r w:rsidDel="00000000" w:rsidR="00000000" w:rsidRPr="00000000">
        <w:rPr>
          <w:rFonts w:ascii="Times New Roman" w:cs="Times New Roman" w:eastAsia="Times New Roman" w:hAnsi="Times New Roman"/>
          <w:b w:val="1"/>
          <w:bCs w:val="1"/>
          <w:i w:val="1"/>
          <w:iCs w:val="1"/>
          <w:color w:val="1155cc"/>
          <w:u w:val="single"/>
          <w:rtl w:val="0"/>
        </w:rPr>
        <w:t xml:space="preserve">Nota-2214</w:t>
      </w:r>
    </w:hyperlink>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cs.google.com/document/d/1CVHbixEmwdhjL0OiZrqjUYd0NNKWKDHx33dUjap-qyI/preview"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cs.google.com/document/d/1Dd66CdtKhvJ9jd4Bd_U4VMxID5bSApnTTE9s86NUIl8/p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