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44"/>
          <w:szCs w:val="44"/>
          <w:u w:val="single"/>
        </w:rPr>
      </w:pPr>
      <w:r w:rsidDel="00000000" w:rsidR="00000000" w:rsidRPr="00000000">
        <w:rPr>
          <w:b w:val="1"/>
          <w:sz w:val="44"/>
          <w:szCs w:val="44"/>
          <w:u w:val="single"/>
          <w:rtl w:val="0"/>
        </w:rPr>
        <w:t xml:space="preserve">ES IMPORTANTE SABER  ALGUNAS LICENCIAS EXTRAORDINARIAS Y JUSTIFICACIONES</w:t>
      </w:r>
    </w:p>
    <w:p w:rsidR="00000000" w:rsidDel="00000000" w:rsidP="00000000" w:rsidRDefault="00000000" w:rsidRPr="00000000" w14:paraId="00000002">
      <w:pPr>
        <w:rPr>
          <w:b w:val="1"/>
        </w:rPr>
      </w:pPr>
      <w:r w:rsidDel="00000000" w:rsidR="00000000" w:rsidRPr="00000000">
        <w:rPr>
          <w:b w:val="1"/>
          <w:rtl w:val="0"/>
        </w:rPr>
        <w:t xml:space="preserve">Nombraremos algunas para tener en cuenta:</w:t>
      </w:r>
    </w:p>
    <w:p w:rsidR="00000000" w:rsidDel="00000000" w:rsidP="00000000" w:rsidRDefault="00000000" w:rsidRPr="00000000" w14:paraId="00000003">
      <w:pPr>
        <w:jc w:val="center"/>
        <w:rPr/>
      </w:pPr>
      <w:r w:rsidDel="00000000" w:rsidR="00000000" w:rsidRPr="00000000">
        <w:rPr>
          <w:b w:val="1"/>
          <w:rtl w:val="0"/>
        </w:rPr>
        <w:t xml:space="preserve">Art 82°</w:t>
      </w:r>
      <w:r w:rsidDel="00000000" w:rsidR="00000000" w:rsidRPr="00000000">
        <w:rPr>
          <w:rtl w:val="0"/>
        </w:rPr>
        <w:t xml:space="preserve">: El trabajador/a gozará de las siguientes licencias especiales.</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425.19685039370086"/>
        <w:jc w:val="left"/>
        <w:rPr/>
      </w:pPr>
      <w:r w:rsidDel="00000000" w:rsidR="00000000" w:rsidRPr="00000000">
        <w:rPr>
          <w:rtl w:val="0"/>
        </w:rPr>
        <w:t xml:space="preserve">a) - </w:t>
      </w:r>
      <w:r w:rsidDel="00000000" w:rsidR="00000000" w:rsidRPr="00000000">
        <w:rPr>
          <w:rtl w:val="0"/>
        </w:rPr>
        <w:t xml:space="preserve">En caso del trabajador/a  no gestante,  por nacimiento u otorgamiento de la guarda para adopción de hijos, TREINTA (30) DÍAS CORRIDOS.</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425.19685039370086"/>
        <w:jc w:val="left"/>
        <w:rPr/>
      </w:pPr>
      <w:r w:rsidDel="00000000" w:rsidR="00000000" w:rsidRPr="00000000">
        <w:rPr>
          <w:rtl w:val="0"/>
        </w:rPr>
        <w:t xml:space="preserve">b) - </w:t>
      </w:r>
      <w:r w:rsidDel="00000000" w:rsidR="00000000" w:rsidRPr="00000000">
        <w:rPr>
          <w:rtl w:val="0"/>
        </w:rPr>
        <w:t xml:space="preserve">Por matrimonio, DIEZ (10) DÍAS hábiles,  Dicha licencia se hará efectiva a partir del día que se formalice ante el Registro Civil.</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425.19685039370086"/>
        <w:jc w:val="left"/>
        <w:rPr/>
      </w:pPr>
      <w:r w:rsidDel="00000000" w:rsidR="00000000" w:rsidRPr="00000000">
        <w:rPr>
          <w:rtl w:val="0"/>
        </w:rPr>
        <w:t xml:space="preserve">c) - Por matrimonio de hijo/a, DOS (2) DÍAS hábiles, correspondiéndole el día que formalice ante el Registro Civil y el día anterior o posterior al mismo.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425.19685039370086"/>
        <w:jc w:val="left"/>
        <w:rPr/>
      </w:pPr>
      <w:r w:rsidDel="00000000" w:rsidR="00000000" w:rsidRPr="00000000">
        <w:rPr>
          <w:rtl w:val="0"/>
        </w:rPr>
        <w:t xml:space="preserve">d) - Por fallecimiento del cónyuge, concubino/a o pariente en el primer grado de consanguinidad (padres o hijos/as), DIEZ (10) DÍAS hábiles. Para caso de concubino/a o conviviente, deberá acreditar dicha relación mediante testimonio de la información sumaria emanada de la autoridad judicial competente, y una certificación de domicilio donde conste la cohabitación.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425.19685039370086"/>
        <w:jc w:val="left"/>
        <w:rPr/>
      </w:pPr>
      <w:r w:rsidDel="00000000" w:rsidR="00000000" w:rsidRPr="00000000">
        <w:rPr>
          <w:rtl w:val="0"/>
        </w:rPr>
        <w:t xml:space="preserve">e) - Por fallecimiento de pariente en segundo grado de consanguinidad (abuelos/as, nietos/as o hermanos/as). CINCO (5) DÍAS hábiles.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425.19685039370086"/>
        <w:jc w:val="left"/>
        <w:rPr/>
      </w:pPr>
      <w:r w:rsidDel="00000000" w:rsidR="00000000" w:rsidRPr="00000000">
        <w:rPr>
          <w:rtl w:val="0"/>
        </w:rPr>
        <w:t xml:space="preserve">f) - Por fallecimiento de parientes políticos en primer grado y segundo grado (suegro, yerno, nuera o cuñado) UN (1) DÍA hábil.</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425.19685039370086"/>
        <w:jc w:val="left"/>
        <w:rPr/>
      </w:pPr>
      <w:r w:rsidDel="00000000" w:rsidR="00000000" w:rsidRPr="00000000">
        <w:rPr>
          <w:rtl w:val="0"/>
        </w:rPr>
        <w:t xml:space="preserve">g) - Donación de sangre, UN (1) DÍA, el de la extracción.</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425.19685039370086"/>
        <w:jc w:val="left"/>
        <w:rPr/>
      </w:pPr>
      <w:r w:rsidDel="00000000" w:rsidR="00000000" w:rsidRPr="00000000">
        <w:rPr>
          <w:rtl w:val="0"/>
        </w:rPr>
        <w:t xml:space="preserve">m) - Las inasistencias producidas por razones de fuerza mayor, fenómenos meteorológicos y circunstancias de similar naturaleza, serán justificadas por la universidad siempre que se acrediten debidamente a través de los entes que corresponda y/o sean de público conocimiento.</w:t>
      </w:r>
    </w:p>
    <w:p w:rsidR="00000000" w:rsidDel="00000000" w:rsidP="00000000" w:rsidRDefault="00000000" w:rsidRPr="00000000" w14:paraId="0000000C">
      <w:pPr>
        <w:tabs>
          <w:tab w:val="left" w:leader="none" w:pos="2700"/>
        </w:tabs>
        <w:jc w:val="both"/>
        <w:rPr>
          <w:sz w:val="44"/>
          <w:szCs w:val="44"/>
        </w:rPr>
      </w:pPr>
      <w:r w:rsidDel="00000000" w:rsidR="00000000" w:rsidRPr="00000000">
        <w:rPr>
          <w:sz w:val="44"/>
          <w:szCs w:val="44"/>
          <w:rtl w:val="0"/>
        </w:rPr>
        <w:tab/>
      </w:r>
    </w:p>
    <w:p w:rsidR="00000000" w:rsidDel="00000000" w:rsidP="00000000" w:rsidRDefault="00000000" w:rsidRPr="00000000" w14:paraId="0000000D">
      <w:pPr>
        <w:tabs>
          <w:tab w:val="left" w:leader="none" w:pos="2700"/>
        </w:tabs>
        <w:jc w:val="both"/>
        <w:rPr>
          <w:sz w:val="44"/>
          <w:szCs w:val="44"/>
        </w:rPr>
      </w:pPr>
      <w:r w:rsidDel="00000000" w:rsidR="00000000" w:rsidRPr="00000000">
        <w:rPr>
          <w:rtl w:val="0"/>
        </w:rPr>
      </w:r>
    </w:p>
    <w:p w:rsidR="00000000" w:rsidDel="00000000" w:rsidP="00000000" w:rsidRDefault="00000000" w:rsidRPr="00000000" w14:paraId="0000000E">
      <w:pPr>
        <w:tabs>
          <w:tab w:val="left" w:leader="none" w:pos="2700"/>
        </w:tabs>
        <w:jc w:val="both"/>
        <w:rPr>
          <w:sz w:val="28"/>
          <w:szCs w:val="28"/>
        </w:rPr>
      </w:pPr>
      <w:r w:rsidDel="00000000" w:rsidR="00000000" w:rsidRPr="00000000">
        <w:rPr>
          <w:rtl w:val="0"/>
        </w:rPr>
      </w:r>
    </w:p>
    <w:p w:rsidR="00000000" w:rsidDel="00000000" w:rsidP="00000000" w:rsidRDefault="00000000" w:rsidRPr="00000000" w14:paraId="0000000F">
      <w:pPr>
        <w:tabs>
          <w:tab w:val="left" w:leader="none" w:pos="2700"/>
        </w:tabs>
        <w:jc w:val="both"/>
        <w:rPr>
          <w:sz w:val="28"/>
          <w:szCs w:val="28"/>
        </w:rPr>
      </w:pPr>
      <w:r w:rsidDel="00000000" w:rsidR="00000000" w:rsidRPr="00000000">
        <w:rPr>
          <w:rtl w:val="0"/>
        </w:rPr>
      </w:r>
    </w:p>
    <w:p w:rsidR="00000000" w:rsidDel="00000000" w:rsidP="00000000" w:rsidRDefault="00000000" w:rsidRPr="00000000" w14:paraId="00000010">
      <w:pPr>
        <w:tabs>
          <w:tab w:val="left" w:leader="none" w:pos="2700"/>
        </w:tabs>
        <w:jc w:val="both"/>
        <w:rPr>
          <w:b w:val="1"/>
          <w:sz w:val="28"/>
          <w:szCs w:val="28"/>
          <w:u w:val="single"/>
        </w:rPr>
      </w:pPr>
      <w:r w:rsidDel="00000000" w:rsidR="00000000" w:rsidRPr="00000000">
        <w:rPr>
          <w:rtl w:val="0"/>
        </w:rPr>
      </w:r>
    </w:p>
    <w:p w:rsidR="00000000" w:rsidDel="00000000" w:rsidP="00000000" w:rsidRDefault="00000000" w:rsidRPr="00000000" w14:paraId="00000011">
      <w:pPr>
        <w:tabs>
          <w:tab w:val="left" w:leader="none" w:pos="2700"/>
        </w:tabs>
        <w:jc w:val="both"/>
        <w:rPr/>
      </w:pPr>
      <w:r w:rsidDel="00000000" w:rsidR="00000000" w:rsidRPr="00000000">
        <w:rPr>
          <w:b w:val="1"/>
          <w:rtl w:val="0"/>
        </w:rPr>
        <w:t xml:space="preserve">ARTÍCULO 85°</w:t>
      </w:r>
      <w:r w:rsidDel="00000000" w:rsidR="00000000" w:rsidRPr="00000000">
        <w:rPr>
          <w:rtl w:val="0"/>
        </w:rPr>
        <w:t xml:space="preserve">: Ausentes con aviso. Se podrán otorgar hasta SEIS (6) ausentes por año, con goce de haberes, en ningún caso podrán acumularse más de DOS (2) días al mes. Para la utilización de estos permisos el trabajador/a deberá dar aviso con VEINTICUATRO (24) horas de antelación o dentro del horario correspondiente a su jornada laboral, quedando sujeto su autorización a las necesidades del servicio. En caso de no ser autorizado/a, deberá ser justificado y fundamentado por escrito por el nodocente responsable del área. Los ausentes con aviso no deberán ser compensados.</w:t>
      </w:r>
    </w:p>
    <w:p w:rsidR="00000000" w:rsidDel="00000000" w:rsidP="00000000" w:rsidRDefault="00000000" w:rsidRPr="00000000" w14:paraId="00000012">
      <w:pPr>
        <w:tabs>
          <w:tab w:val="left" w:leader="none" w:pos="2700"/>
        </w:tabs>
        <w:rPr/>
      </w:pPr>
      <w:r w:rsidDel="00000000" w:rsidR="00000000" w:rsidRPr="00000000">
        <w:rPr>
          <w:b w:val="1"/>
          <w:rtl w:val="0"/>
        </w:rPr>
        <w:t xml:space="preserve">ARTÍCULO 86°</w:t>
      </w:r>
      <w:r w:rsidDel="00000000" w:rsidR="00000000" w:rsidRPr="00000000">
        <w:rPr>
          <w:rtl w:val="0"/>
        </w:rPr>
        <w:t xml:space="preserve">: Permisos de salidas excepcionales. EL PERMISO ESPECIAL contempla una reducción horaria de CINCO (5) horas de la jornada laboral, debiéndose cumplir las DOS (2) últimas. Se podrán justificar hasta CINCO (5) permisos por año, otorgados por el responsable del área donde presta servicio el trabajador/a. En caso de no ser autorizado deberá ser justificado por escrito por el responsable del área.</w:t>
      </w:r>
    </w:p>
    <w:p w:rsidR="00000000" w:rsidDel="00000000" w:rsidP="00000000" w:rsidRDefault="00000000" w:rsidRPr="00000000" w14:paraId="00000013">
      <w:pPr>
        <w:tabs>
          <w:tab w:val="left" w:leader="none" w:pos="2700"/>
        </w:tabs>
        <w:rPr/>
      </w:pPr>
      <w:r w:rsidDel="00000000" w:rsidR="00000000" w:rsidRPr="00000000">
        <w:rPr>
          <w:b w:val="1"/>
          <w:rtl w:val="0"/>
        </w:rPr>
        <w:t xml:space="preserve">ARTÍCULO 87</w:t>
      </w:r>
      <w:r w:rsidDel="00000000" w:rsidR="00000000" w:rsidRPr="00000000">
        <w:rPr>
          <w:rtl w:val="0"/>
        </w:rPr>
        <w:t xml:space="preserve">: Permiso de media jornada. Se podrán justificar hasta DOS (2) permisos de media jornada por mes otorgados por el o la responsable del área donde preste servicios el trabajador/a, antes del horario de ingreso o después de haberse cumplido media jornada de labor correspondiente. Dicho permiso deberá ser comunicado por el trabajador/a con VEINTICUATRO (24) horas de anticipación. En caso de no ser autorizado, deberá ser justificado y fundamentado por escrito por el/la nodocente responsable del área.</w:t>
      </w:r>
    </w:p>
    <w:p w:rsidR="00000000" w:rsidDel="00000000" w:rsidP="00000000" w:rsidRDefault="00000000" w:rsidRPr="00000000" w14:paraId="00000014">
      <w:pPr>
        <w:jc w:val="center"/>
        <w:rPr>
          <w:b w:val="1"/>
          <w:sz w:val="28"/>
          <w:szCs w:val="28"/>
        </w:rPr>
      </w:pPr>
      <w:bookmarkStart w:colFirst="0" w:colLast="0" w:name="_heading=h.gjdgxs" w:id="0"/>
      <w:bookmarkEnd w:id="0"/>
      <w:r w:rsidDel="00000000" w:rsidR="00000000" w:rsidRPr="00000000">
        <w:rPr>
          <w:b w:val="1"/>
          <w:sz w:val="280"/>
          <w:szCs w:val="280"/>
          <w:rtl w:val="0"/>
        </w:rPr>
        <w:t xml:space="preserve">A.P.U.T.N</w:t>
      </w:r>
      <w:r w:rsidDel="00000000" w:rsidR="00000000" w:rsidRPr="00000000">
        <w:rPr>
          <w:b w:val="1"/>
          <w:sz w:val="28"/>
          <w:szCs w:val="28"/>
          <w:rtl w:val="0"/>
        </w:rPr>
        <w:t xml:space="preserve"> (COMISIÓN INTERNA)</w:t>
      </w:r>
    </w:p>
    <w:p w:rsidR="00000000" w:rsidDel="00000000" w:rsidP="00000000" w:rsidRDefault="00000000" w:rsidRPr="00000000" w14:paraId="00000015">
      <w:pPr>
        <w:jc w:val="center"/>
        <w:rPr>
          <w:b w:val="1"/>
          <w:sz w:val="28"/>
          <w:szCs w:val="28"/>
          <w:u w:val="single"/>
        </w:rPr>
      </w:pPr>
      <w:r w:rsidDel="00000000" w:rsidR="00000000" w:rsidRPr="00000000">
        <w:rPr>
          <w:b w:val="1"/>
          <w:sz w:val="280"/>
          <w:szCs w:val="280"/>
          <w:rtl w:val="0"/>
        </w:rPr>
        <w:t xml:space="preserve">TE  INFORMA</w:t>
      </w:r>
      <w:r w:rsidDel="00000000" w:rsidR="00000000" w:rsidRPr="00000000">
        <w:rPr>
          <w:rtl w:val="0"/>
        </w:rPr>
      </w:r>
    </w:p>
    <w:sectPr>
      <w:pgSz w:h="11906" w:w="16838" w:orient="landscape"/>
      <w:pgMar w:bottom="567" w:top="851" w:left="567" w:right="395"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44"/>
        <w:szCs w:val="44"/>
        <w:lang w:val="es-AR"/>
      </w:rPr>
    </w:rPrDefault>
    <w:pPrDefault>
      <w:pPr>
        <w:spacing w:after="200" w:line="276" w:lineRule="auto"/>
        <w:ind w:left="720" w:hanging="36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Textodeglobo">
    <w:name w:val="Balloon Text"/>
    <w:basedOn w:val="Normal"/>
    <w:link w:val="TextodegloboCar"/>
    <w:uiPriority w:val="99"/>
    <w:semiHidden w:val="1"/>
    <w:unhideWhenUsed w:val="1"/>
    <w:rsid w:val="008275E9"/>
    <w:pPr>
      <w:spacing w:after="0" w:line="240" w:lineRule="auto"/>
    </w:pPr>
    <w:rPr>
      <w:rFonts w:ascii="Tahoma" w:cs="Tahoma" w:hAnsi="Tahoma"/>
      <w:sz w:val="16"/>
      <w:szCs w:val="16"/>
    </w:rPr>
  </w:style>
  <w:style w:type="character" w:styleId="TextodegloboCar" w:customStyle="1">
    <w:name w:val="Texto de globo Car"/>
    <w:basedOn w:val="Fuentedeprrafopredeter"/>
    <w:link w:val="Textodeglobo"/>
    <w:uiPriority w:val="99"/>
    <w:semiHidden w:val="1"/>
    <w:rsid w:val="008275E9"/>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XxfjPUxlt7WzpLsw5l91p3o/RA==">CgMxLjAyCGguZ2pkZ3hzOAByITFrM0RySVBCWlJ2S0xlNG4zbExLalpzNDhQRGE4UUZNdQ==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2023-10-18T19:08:00Z</dcterms:created>
  <dc:creator>Karina LOTO</dc:creator>
</cp:coreProperties>
</file>